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4A5C" w14:textId="32353021" w:rsidR="00C32FB7" w:rsidRPr="002E65AF" w:rsidRDefault="00C32FB7">
      <w:pPr>
        <w:rPr>
          <w:b/>
          <w:bCs/>
          <w:sz w:val="22"/>
          <w:szCs w:val="22"/>
          <w:lang w:val="en-GB"/>
        </w:rPr>
      </w:pPr>
      <w:r w:rsidRPr="002E65AF">
        <w:rPr>
          <w:b/>
          <w:bCs/>
          <w:sz w:val="22"/>
          <w:szCs w:val="22"/>
          <w:lang w:val="en-GB"/>
        </w:rPr>
        <w:t>I haven’t been part of the planning for ITAP – how can I understand what it is and what the thinking was behind it?</w:t>
      </w:r>
    </w:p>
    <w:p w14:paraId="13D892A0" w14:textId="5E194F25" w:rsidR="00C32FB7" w:rsidRPr="002E65AF" w:rsidRDefault="00C32FB7">
      <w:pPr>
        <w:rPr>
          <w:sz w:val="22"/>
          <w:szCs w:val="22"/>
          <w:lang w:val="en-GB"/>
        </w:rPr>
      </w:pPr>
      <w:r w:rsidRPr="002E65AF">
        <w:rPr>
          <w:sz w:val="22"/>
          <w:szCs w:val="22"/>
          <w:lang w:val="en-GB"/>
        </w:rPr>
        <w:t>ITAP is a core part of our curriculum offer. During Level 1 training the core ideas behind our curriculum design and sequencing was discussed in relation to ideas about how beginning teachers often learn and develop from concerns with self and looking inward to moving outwards in their thinking and considering pupils and pupil learning:</w:t>
      </w:r>
    </w:p>
    <w:p w14:paraId="31B0A8E5" w14:textId="1B006FE5" w:rsidR="00C32FB7" w:rsidRPr="002E65AF" w:rsidRDefault="00C32FB7">
      <w:pPr>
        <w:rPr>
          <w:sz w:val="22"/>
          <w:szCs w:val="22"/>
          <w:lang w:val="en-GB"/>
        </w:rPr>
      </w:pPr>
      <w:r w:rsidRPr="002E65AF">
        <w:rPr>
          <w:noProof/>
          <w:sz w:val="22"/>
          <w:szCs w:val="22"/>
        </w:rPr>
        <w:drawing>
          <wp:inline distT="0" distB="0" distL="0" distR="0" wp14:anchorId="10D51648" wp14:editId="12D1F068">
            <wp:extent cx="4082755" cy="2476184"/>
            <wp:effectExtent l="0" t="0" r="0" b="635"/>
            <wp:docPr id="148706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62579" name=""/>
                    <pic:cNvPicPr/>
                  </pic:nvPicPr>
                  <pic:blipFill rotWithShape="1">
                    <a:blip r:embed="rId10"/>
                    <a:srcRect l="19766" t="23931" r="21046" b="12251"/>
                    <a:stretch>
                      <a:fillRect/>
                    </a:stretch>
                  </pic:blipFill>
                  <pic:spPr bwMode="auto">
                    <a:xfrm>
                      <a:off x="0" y="0"/>
                      <a:ext cx="4106466" cy="2490565"/>
                    </a:xfrm>
                    <a:prstGeom prst="rect">
                      <a:avLst/>
                    </a:prstGeom>
                    <a:ln>
                      <a:noFill/>
                    </a:ln>
                    <a:extLst>
                      <a:ext uri="{53640926-AAD7-44D8-BBD7-CCE9431645EC}">
                        <a14:shadowObscured xmlns:a14="http://schemas.microsoft.com/office/drawing/2010/main"/>
                      </a:ext>
                    </a:extLst>
                  </pic:spPr>
                </pic:pic>
              </a:graphicData>
            </a:graphic>
          </wp:inline>
        </w:drawing>
      </w:r>
    </w:p>
    <w:p w14:paraId="56BF6B30" w14:textId="77777777" w:rsidR="00B10BC0" w:rsidRPr="002E65AF" w:rsidRDefault="00C32FB7">
      <w:pPr>
        <w:rPr>
          <w:sz w:val="22"/>
          <w:szCs w:val="22"/>
          <w:lang w:val="en-GB"/>
        </w:rPr>
      </w:pPr>
      <w:r w:rsidRPr="002E65AF">
        <w:rPr>
          <w:sz w:val="22"/>
          <w:szCs w:val="22"/>
          <w:lang w:val="en-GB"/>
        </w:rPr>
        <w:t xml:space="preserve">Professional Studies and ITAP content mirrors these stages by beginning in September with a focus on language, routines and presence and gradually </w:t>
      </w:r>
      <w:r w:rsidR="00B10BC0" w:rsidRPr="002E65AF">
        <w:rPr>
          <w:sz w:val="22"/>
          <w:szCs w:val="22"/>
          <w:lang w:val="en-GB"/>
        </w:rPr>
        <w:t>increasing in complexity throughout the year</w:t>
      </w:r>
      <w:r w:rsidRPr="002E65AF">
        <w:rPr>
          <w:sz w:val="22"/>
          <w:szCs w:val="22"/>
          <w:lang w:val="en-GB"/>
        </w:rPr>
        <w:t>.</w:t>
      </w:r>
    </w:p>
    <w:p w14:paraId="26B084D8" w14:textId="2F9284BD" w:rsidR="00B10BC0" w:rsidRPr="002E65AF" w:rsidRDefault="00B10BC0">
      <w:pPr>
        <w:rPr>
          <w:b/>
          <w:bCs/>
          <w:sz w:val="22"/>
          <w:szCs w:val="22"/>
          <w:lang w:val="en-GB"/>
        </w:rPr>
      </w:pPr>
      <w:r w:rsidRPr="002E65AF">
        <w:rPr>
          <w:b/>
          <w:bCs/>
          <w:sz w:val="22"/>
          <w:szCs w:val="22"/>
          <w:lang w:val="en-GB"/>
        </w:rPr>
        <w:t>How do I frame mentor meetings to follow up ITAP</w:t>
      </w:r>
      <w:r w:rsidR="00DF0863" w:rsidRPr="002E65AF">
        <w:rPr>
          <w:b/>
          <w:bCs/>
          <w:sz w:val="22"/>
          <w:szCs w:val="22"/>
          <w:lang w:val="en-GB"/>
        </w:rPr>
        <w:t xml:space="preserve"> if I wasn’t in school or university sessions with my BT</w:t>
      </w:r>
      <w:r w:rsidRPr="002E65AF">
        <w:rPr>
          <w:b/>
          <w:bCs/>
          <w:sz w:val="22"/>
          <w:szCs w:val="22"/>
          <w:lang w:val="en-GB"/>
        </w:rPr>
        <w:t>?</w:t>
      </w:r>
    </w:p>
    <w:p w14:paraId="1FE6CAC7" w14:textId="5672F52C" w:rsidR="00B53F7B" w:rsidRDefault="007442B5">
      <w:pPr>
        <w:rPr>
          <w:sz w:val="22"/>
          <w:szCs w:val="22"/>
          <w:lang w:val="en-GB"/>
        </w:rPr>
      </w:pPr>
      <w:r w:rsidRPr="002E65AF">
        <w:rPr>
          <w:sz w:val="22"/>
          <w:szCs w:val="22"/>
          <w:lang w:val="en-GB"/>
        </w:rPr>
        <w:t xml:space="preserve">BTs </w:t>
      </w:r>
      <w:r w:rsidR="008D250E">
        <w:rPr>
          <w:sz w:val="22"/>
          <w:szCs w:val="22"/>
          <w:lang w:val="en-GB"/>
        </w:rPr>
        <w:t>can share their observations</w:t>
      </w:r>
      <w:r w:rsidR="00B53F7B">
        <w:rPr>
          <w:sz w:val="22"/>
          <w:szCs w:val="22"/>
          <w:lang w:val="en-GB"/>
        </w:rPr>
        <w:t xml:space="preserve"> of colleagues in their ITAP schools</w:t>
      </w:r>
      <w:r w:rsidR="008D250E">
        <w:rPr>
          <w:sz w:val="22"/>
          <w:szCs w:val="22"/>
          <w:lang w:val="en-GB"/>
        </w:rPr>
        <w:t xml:space="preserve"> and </w:t>
      </w:r>
      <w:r w:rsidR="00B53F7B">
        <w:rPr>
          <w:sz w:val="22"/>
          <w:szCs w:val="22"/>
          <w:lang w:val="en-GB"/>
        </w:rPr>
        <w:t xml:space="preserve">any </w:t>
      </w:r>
      <w:r w:rsidR="008D250E">
        <w:rPr>
          <w:sz w:val="22"/>
          <w:szCs w:val="22"/>
          <w:lang w:val="en-GB"/>
        </w:rPr>
        <w:t>feedback on</w:t>
      </w:r>
      <w:r w:rsidR="00B53F7B">
        <w:rPr>
          <w:sz w:val="22"/>
          <w:szCs w:val="22"/>
          <w:lang w:val="en-GB"/>
        </w:rPr>
        <w:t xml:space="preserve"> their delivery of a</w:t>
      </w:r>
      <w:r w:rsidR="008D250E">
        <w:rPr>
          <w:sz w:val="22"/>
          <w:szCs w:val="22"/>
          <w:lang w:val="en-GB"/>
        </w:rPr>
        <w:t xml:space="preserve"> tutor time </w:t>
      </w:r>
      <w:r w:rsidR="00B53F7B">
        <w:rPr>
          <w:sz w:val="22"/>
          <w:szCs w:val="22"/>
          <w:lang w:val="en-GB"/>
        </w:rPr>
        <w:t>via</w:t>
      </w:r>
      <w:r w:rsidR="002E65AF" w:rsidRPr="002E65AF">
        <w:rPr>
          <w:sz w:val="22"/>
          <w:szCs w:val="22"/>
          <w:lang w:val="en-GB"/>
        </w:rPr>
        <w:t xml:space="preserve"> their </w:t>
      </w:r>
      <w:proofErr w:type="spellStart"/>
      <w:r w:rsidR="002E65AF" w:rsidRPr="002E65AF">
        <w:rPr>
          <w:sz w:val="22"/>
          <w:szCs w:val="22"/>
          <w:lang w:val="en-GB"/>
        </w:rPr>
        <w:t>OneNotes</w:t>
      </w:r>
      <w:proofErr w:type="spellEnd"/>
      <w:r w:rsidR="008D250E">
        <w:rPr>
          <w:sz w:val="22"/>
          <w:szCs w:val="22"/>
          <w:lang w:val="en-GB"/>
        </w:rPr>
        <w:t>.</w:t>
      </w:r>
    </w:p>
    <w:p w14:paraId="3D174F32" w14:textId="2859BC1F" w:rsidR="002E65AF" w:rsidRPr="002E65AF" w:rsidRDefault="007442B5">
      <w:pPr>
        <w:rPr>
          <w:sz w:val="22"/>
          <w:szCs w:val="22"/>
          <w:lang w:val="en-GB"/>
        </w:rPr>
      </w:pPr>
      <w:r w:rsidRPr="002E65AF">
        <w:rPr>
          <w:sz w:val="22"/>
          <w:szCs w:val="22"/>
          <w:lang w:val="en-GB"/>
        </w:rPr>
        <w:t xml:space="preserve"> </w:t>
      </w:r>
      <w:r w:rsidR="002E65AF" w:rsidRPr="002E65AF">
        <w:rPr>
          <w:sz w:val="22"/>
          <w:szCs w:val="22"/>
          <w:lang w:val="en-GB"/>
        </w:rPr>
        <w:t xml:space="preserve"> </w:t>
      </w:r>
    </w:p>
    <w:p w14:paraId="622BD32A" w14:textId="0B5C8278" w:rsidR="00DF0863" w:rsidRPr="002E65AF" w:rsidRDefault="00014E8F">
      <w:pPr>
        <w:rPr>
          <w:sz w:val="22"/>
          <w:szCs w:val="22"/>
          <w:lang w:val="en-GB"/>
        </w:rPr>
      </w:pPr>
      <w:r>
        <w:rPr>
          <w:sz w:val="22"/>
          <w:szCs w:val="22"/>
          <w:lang w:val="en-GB"/>
        </w:rPr>
        <w:t>They should use this as a basis for reflection with you using the weekly paperwork and framework for discussion</w:t>
      </w:r>
      <w:r w:rsidR="00B10BC0" w:rsidRPr="002E65AF">
        <w:rPr>
          <w:sz w:val="22"/>
          <w:szCs w:val="22"/>
          <w:lang w:val="en-GB"/>
        </w:rPr>
        <w:t xml:space="preserve">, </w:t>
      </w:r>
      <w:r>
        <w:rPr>
          <w:sz w:val="22"/>
          <w:szCs w:val="22"/>
          <w:lang w:val="en-GB"/>
        </w:rPr>
        <w:t xml:space="preserve">to </w:t>
      </w:r>
      <w:r w:rsidR="00B10BC0" w:rsidRPr="002E65AF">
        <w:rPr>
          <w:sz w:val="22"/>
          <w:szCs w:val="22"/>
          <w:lang w:val="en-GB"/>
        </w:rPr>
        <w:t>mak</w:t>
      </w:r>
      <w:r>
        <w:rPr>
          <w:sz w:val="22"/>
          <w:szCs w:val="22"/>
          <w:lang w:val="en-GB"/>
        </w:rPr>
        <w:t>e</w:t>
      </w:r>
      <w:r w:rsidR="00DF0863" w:rsidRPr="002E65AF">
        <w:rPr>
          <w:sz w:val="22"/>
          <w:szCs w:val="22"/>
          <w:lang w:val="en-GB"/>
        </w:rPr>
        <w:t xml:space="preserve"> links and reflect on different areas of the curriculum in </w:t>
      </w:r>
      <w:proofErr w:type="gramStart"/>
      <w:r w:rsidR="00DF0863" w:rsidRPr="002E65AF">
        <w:rPr>
          <w:sz w:val="22"/>
          <w:szCs w:val="22"/>
          <w:lang w:val="en-GB"/>
        </w:rPr>
        <w:t>exactly the same</w:t>
      </w:r>
      <w:proofErr w:type="gramEnd"/>
      <w:r w:rsidR="00DF0863" w:rsidRPr="002E65AF">
        <w:rPr>
          <w:sz w:val="22"/>
          <w:szCs w:val="22"/>
          <w:lang w:val="en-GB"/>
        </w:rPr>
        <w:t xml:space="preserve"> way </w:t>
      </w:r>
      <w:r>
        <w:rPr>
          <w:sz w:val="22"/>
          <w:szCs w:val="22"/>
          <w:lang w:val="en-GB"/>
        </w:rPr>
        <w:t>as they would when reflecting on their</w:t>
      </w:r>
      <w:r w:rsidR="00DF0863" w:rsidRPr="002E65AF">
        <w:rPr>
          <w:sz w:val="22"/>
          <w:szCs w:val="22"/>
          <w:lang w:val="en-GB"/>
        </w:rPr>
        <w:t xml:space="preserve"> </w:t>
      </w:r>
      <w:r w:rsidR="007442B5" w:rsidRPr="002E65AF">
        <w:rPr>
          <w:sz w:val="22"/>
          <w:szCs w:val="22"/>
          <w:lang w:val="en-GB"/>
        </w:rPr>
        <w:t xml:space="preserve">Friday sessions. </w:t>
      </w:r>
    </w:p>
    <w:p w14:paraId="74785EEE" w14:textId="18631642" w:rsidR="007442B5" w:rsidRPr="000D2E59" w:rsidRDefault="007442B5">
      <w:pPr>
        <w:rPr>
          <w:b/>
          <w:bCs/>
          <w:sz w:val="22"/>
          <w:szCs w:val="22"/>
          <w:lang w:val="en-GB"/>
        </w:rPr>
      </w:pPr>
      <w:r w:rsidRPr="000D2E59">
        <w:rPr>
          <w:b/>
          <w:bCs/>
          <w:sz w:val="22"/>
          <w:szCs w:val="22"/>
          <w:lang w:val="en-GB"/>
        </w:rPr>
        <w:t>My BT is quite general in their reflection</w:t>
      </w:r>
      <w:r w:rsidR="00B53F7B">
        <w:rPr>
          <w:b/>
          <w:bCs/>
          <w:sz w:val="22"/>
          <w:szCs w:val="22"/>
          <w:lang w:val="en-GB"/>
        </w:rPr>
        <w:t>s</w:t>
      </w:r>
      <w:r w:rsidRPr="000D2E59">
        <w:rPr>
          <w:b/>
          <w:bCs/>
          <w:sz w:val="22"/>
          <w:szCs w:val="22"/>
          <w:lang w:val="en-GB"/>
        </w:rPr>
        <w:t>.</w:t>
      </w:r>
      <w:r w:rsidR="002E65AF" w:rsidRPr="000D2E59">
        <w:rPr>
          <w:b/>
          <w:bCs/>
          <w:sz w:val="22"/>
          <w:szCs w:val="22"/>
          <w:lang w:val="en-GB"/>
        </w:rPr>
        <w:t xml:space="preserve"> It is more about what they have done rather than what they have learnt.</w:t>
      </w:r>
    </w:p>
    <w:p w14:paraId="54175A9A" w14:textId="6B6FA6C0" w:rsidR="000D2E59" w:rsidRDefault="00014E8F">
      <w:pPr>
        <w:rPr>
          <w:lang w:val="en-GB"/>
        </w:rPr>
      </w:pPr>
      <w:r>
        <w:rPr>
          <w:lang w:val="en-GB"/>
        </w:rPr>
        <w:t>When</w:t>
      </w:r>
      <w:r w:rsidR="002E65AF">
        <w:rPr>
          <w:lang w:val="en-GB"/>
        </w:rPr>
        <w:t xml:space="preserve"> observing lessons during ITAP </w:t>
      </w:r>
      <w:r>
        <w:rPr>
          <w:lang w:val="en-GB"/>
        </w:rPr>
        <w:t>BTs</w:t>
      </w:r>
      <w:r w:rsidR="002E65AF">
        <w:rPr>
          <w:lang w:val="en-GB"/>
        </w:rPr>
        <w:t xml:space="preserve"> will have a specific area of focus. For th</w:t>
      </w:r>
      <w:r w:rsidR="00145BB7">
        <w:rPr>
          <w:lang w:val="en-GB"/>
        </w:rPr>
        <w:t xml:space="preserve">is ITAP it was </w:t>
      </w:r>
      <w:r w:rsidR="00F84A5E">
        <w:rPr>
          <w:lang w:val="en-GB"/>
        </w:rPr>
        <w:t>what assessment methods were used at different stages of the lesson and what information each method gave BTs</w:t>
      </w:r>
      <w:r w:rsidR="00145BB7">
        <w:rPr>
          <w:lang w:val="en-GB"/>
        </w:rPr>
        <w:t xml:space="preserve">. </w:t>
      </w:r>
      <w:r w:rsidR="000D2E59">
        <w:rPr>
          <w:lang w:val="en-GB"/>
        </w:rPr>
        <w:t>BTs had a structured</w:t>
      </w:r>
      <w:r w:rsidR="00145BB7">
        <w:rPr>
          <w:lang w:val="en-GB"/>
        </w:rPr>
        <w:t xml:space="preserve"> observation</w:t>
      </w:r>
      <w:r w:rsidR="000D2E59">
        <w:rPr>
          <w:lang w:val="en-GB"/>
        </w:rPr>
        <w:t xml:space="preserve"> framework to guide their focus </w:t>
      </w:r>
      <w:r w:rsidR="001E7BB4">
        <w:rPr>
          <w:lang w:val="en-GB"/>
        </w:rPr>
        <w:t>and so</w:t>
      </w:r>
      <w:r w:rsidR="000D2E59">
        <w:rPr>
          <w:lang w:val="en-GB"/>
        </w:rPr>
        <w:t xml:space="preserve"> </w:t>
      </w:r>
      <w:r w:rsidR="001E7BB4">
        <w:rPr>
          <w:lang w:val="en-GB"/>
        </w:rPr>
        <w:t>p</w:t>
      </w:r>
      <w:r w:rsidR="000D2E59">
        <w:rPr>
          <w:lang w:val="en-GB"/>
        </w:rPr>
        <w:t>rompting them about specific detail</w:t>
      </w:r>
      <w:r w:rsidR="001E7BB4">
        <w:rPr>
          <w:lang w:val="en-GB"/>
        </w:rPr>
        <w:t>s from the grid</w:t>
      </w:r>
      <w:r w:rsidR="000D2E59">
        <w:rPr>
          <w:lang w:val="en-GB"/>
        </w:rPr>
        <w:t xml:space="preserve"> may help to facilitate their thinking</w:t>
      </w:r>
      <w:r>
        <w:rPr>
          <w:lang w:val="en-GB"/>
        </w:rPr>
        <w:t xml:space="preserve"> and reflection.</w:t>
      </w:r>
    </w:p>
    <w:p w14:paraId="189E4349" w14:textId="0588E440" w:rsidR="00E049CB" w:rsidRDefault="00394D4E">
      <w:pPr>
        <w:rPr>
          <w:b/>
          <w:bCs/>
          <w:lang w:val="en-GB"/>
        </w:rPr>
      </w:pPr>
      <w:r w:rsidRPr="00394D4E">
        <w:rPr>
          <w:b/>
          <w:bCs/>
          <w:lang w:val="en-GB"/>
        </w:rPr>
        <w:lastRenderedPageBreak/>
        <w:t>How can I structure my follow-up reflection</w:t>
      </w:r>
      <w:r>
        <w:rPr>
          <w:b/>
          <w:bCs/>
          <w:lang w:val="en-GB"/>
        </w:rPr>
        <w:t xml:space="preserve"> conversation</w:t>
      </w:r>
      <w:r w:rsidRPr="00394D4E">
        <w:rPr>
          <w:b/>
          <w:bCs/>
          <w:lang w:val="en-GB"/>
        </w:rPr>
        <w:t>?</w:t>
      </w:r>
    </w:p>
    <w:p w14:paraId="6F3AED20" w14:textId="77797B4C" w:rsidR="00BD4F60" w:rsidRPr="00BD3ABD" w:rsidRDefault="00BD4F60">
      <w:pPr>
        <w:rPr>
          <w:b/>
          <w:bCs/>
          <w:i/>
          <w:iCs/>
          <w:lang w:val="en-GB"/>
        </w:rPr>
      </w:pPr>
      <w:r w:rsidRPr="00BD3ABD">
        <w:rPr>
          <w:b/>
          <w:bCs/>
          <w:i/>
          <w:iCs/>
          <w:lang w:val="en-GB"/>
        </w:rPr>
        <w:t>Try to encourage BTs to give specific example</w:t>
      </w:r>
      <w:r w:rsidR="00BD3ABD" w:rsidRPr="00BD3ABD">
        <w:rPr>
          <w:b/>
          <w:bCs/>
          <w:i/>
          <w:iCs/>
          <w:lang w:val="en-GB"/>
        </w:rPr>
        <w:t>s of what they have observed rather than generalised comments.</w:t>
      </w:r>
    </w:p>
    <w:p w14:paraId="3022E2DD" w14:textId="4140B3F8" w:rsidR="004664B6" w:rsidRDefault="007049DA" w:rsidP="007049DA">
      <w:pPr>
        <w:pStyle w:val="ListParagraph"/>
        <w:numPr>
          <w:ilvl w:val="0"/>
          <w:numId w:val="17"/>
        </w:numPr>
      </w:pPr>
      <w:r w:rsidRPr="007049DA">
        <w:t>In an all-through setting, how did the academic expectations and subject-specific depth in KS2 align with what pupils will face in Key Stage 3? Where did you see clear foundations being built early?</w:t>
      </w:r>
    </w:p>
    <w:p w14:paraId="6E0F8771" w14:textId="5024F987" w:rsidR="000D68B2" w:rsidRDefault="000D68B2" w:rsidP="007049DA">
      <w:pPr>
        <w:pStyle w:val="ListParagraph"/>
        <w:numPr>
          <w:ilvl w:val="0"/>
          <w:numId w:val="17"/>
        </w:numPr>
      </w:pPr>
      <w:r w:rsidRPr="000D68B2">
        <w:t>How did teachers during your ITAP build a culture where primary pupils were comfortable struggling with hard concepts, and what language did they use to encourage perseverance?</w:t>
      </w:r>
    </w:p>
    <w:p w14:paraId="08BD9B7C" w14:textId="6E31795C" w:rsidR="00F96C69" w:rsidRDefault="00F96C69" w:rsidP="007049DA">
      <w:pPr>
        <w:pStyle w:val="ListParagraph"/>
        <w:numPr>
          <w:ilvl w:val="0"/>
          <w:numId w:val="17"/>
        </w:numPr>
      </w:pPr>
      <w:r w:rsidRPr="00F96C69">
        <w:t>What specific strategies did you see used in KS2 to stretch higher-attaining pupils</w:t>
      </w:r>
      <w:r>
        <w:t xml:space="preserve"> </w:t>
      </w:r>
      <w:r w:rsidRPr="00F96C69">
        <w:t>such as open-ended questioning, problem-solving variations, or conceptual depth</w:t>
      </w:r>
      <w:r>
        <w:t xml:space="preserve"> </w:t>
      </w:r>
      <w:r w:rsidRPr="00F96C69">
        <w:t>that went beyond just giving them extra work?</w:t>
      </w:r>
    </w:p>
    <w:p w14:paraId="4ABF96BA" w14:textId="430B079A" w:rsidR="00A379F9" w:rsidRDefault="00A379F9" w:rsidP="007049DA">
      <w:pPr>
        <w:pStyle w:val="ListParagraph"/>
        <w:numPr>
          <w:ilvl w:val="0"/>
          <w:numId w:val="17"/>
        </w:numPr>
      </w:pPr>
      <w:r w:rsidRPr="00A379F9">
        <w:t xml:space="preserve">Now that you've seen the depth expected at KS2, how </w:t>
      </w:r>
      <w:r>
        <w:t xml:space="preserve">can </w:t>
      </w:r>
      <w:r w:rsidRPr="00A379F9">
        <w:t>you use that insight in your placement school</w:t>
      </w:r>
      <w:r>
        <w:t xml:space="preserve"> and as an ECT</w:t>
      </w:r>
      <w:r w:rsidRPr="00A379F9">
        <w:t xml:space="preserve"> to ensure your high expectations buil</w:t>
      </w:r>
      <w:r>
        <w:t>d</w:t>
      </w:r>
      <w:r w:rsidRPr="00A379F9">
        <w:t xml:space="preserve"> on what pupils</w:t>
      </w:r>
      <w:r>
        <w:t xml:space="preserve"> have</w:t>
      </w:r>
      <w:r w:rsidRPr="00A379F9">
        <w:t xml:space="preserve"> learned previously?</w:t>
      </w:r>
    </w:p>
    <w:p w14:paraId="4D872533" w14:textId="13DBC986" w:rsidR="00A379F9" w:rsidRDefault="00A379F9" w:rsidP="007049DA">
      <w:pPr>
        <w:pStyle w:val="ListParagraph"/>
        <w:numPr>
          <w:ilvl w:val="0"/>
          <w:numId w:val="17"/>
        </w:numPr>
      </w:pPr>
      <w:r>
        <w:t xml:space="preserve">How were pupils with </w:t>
      </w:r>
      <w:r w:rsidR="003426DF">
        <w:t xml:space="preserve">SEND </w:t>
      </w:r>
      <w:r w:rsidR="00211717">
        <w:t>challenged and supported</w:t>
      </w:r>
      <w:r w:rsidR="00445427">
        <w:t>?</w:t>
      </w:r>
    </w:p>
    <w:p w14:paraId="2692BE57" w14:textId="4CA28D5F" w:rsidR="00445427" w:rsidRDefault="00445427" w:rsidP="007049DA">
      <w:pPr>
        <w:pStyle w:val="ListParagraph"/>
        <w:numPr>
          <w:ilvl w:val="0"/>
          <w:numId w:val="17"/>
        </w:numPr>
      </w:pPr>
      <w:r>
        <w:t>Although the curriculum is important, what other considerations did the experience highlight when thinking about how to support transition?</w:t>
      </w:r>
    </w:p>
    <w:p w14:paraId="06031CEA" w14:textId="77777777" w:rsidR="007049DA" w:rsidRDefault="007049DA" w:rsidP="004664B6">
      <w:pPr>
        <w:pStyle w:val="ListParagraph"/>
      </w:pPr>
    </w:p>
    <w:p w14:paraId="32969694" w14:textId="3E07FBC2" w:rsidR="000D2E59" w:rsidRDefault="000D2E59">
      <w:pPr>
        <w:rPr>
          <w:b/>
          <w:bCs/>
          <w:lang w:val="en-GB"/>
        </w:rPr>
      </w:pPr>
      <w:r w:rsidRPr="000D2E59">
        <w:rPr>
          <w:b/>
          <w:bCs/>
          <w:lang w:val="en-GB"/>
        </w:rPr>
        <w:t xml:space="preserve">What </w:t>
      </w:r>
      <w:proofErr w:type="gramStart"/>
      <w:r w:rsidRPr="000D2E59">
        <w:rPr>
          <w:b/>
          <w:bCs/>
          <w:lang w:val="en-GB"/>
        </w:rPr>
        <w:t>are</w:t>
      </w:r>
      <w:proofErr w:type="gramEnd"/>
      <w:r w:rsidRPr="000D2E59">
        <w:rPr>
          <w:b/>
          <w:bCs/>
          <w:lang w:val="en-GB"/>
        </w:rPr>
        <w:t xml:space="preserve"> the</w:t>
      </w:r>
      <w:r w:rsidR="00014E8F">
        <w:rPr>
          <w:b/>
          <w:bCs/>
          <w:lang w:val="en-GB"/>
        </w:rPr>
        <w:t xml:space="preserve"> set</w:t>
      </w:r>
      <w:r w:rsidRPr="000D2E59">
        <w:rPr>
          <w:b/>
          <w:bCs/>
          <w:lang w:val="en-GB"/>
        </w:rPr>
        <w:t xml:space="preserve"> follow up tasks?</w:t>
      </w:r>
    </w:p>
    <w:p w14:paraId="0AA96A10" w14:textId="0647E233" w:rsidR="000D2E59" w:rsidRDefault="000D2E59">
      <w:r w:rsidRPr="000D2E59">
        <w:t xml:space="preserve">Please note that the follow up ITAP observation is on </w:t>
      </w:r>
      <w:proofErr w:type="gramStart"/>
      <w:r w:rsidRPr="000D2E59">
        <w:t>the w/c</w:t>
      </w:r>
      <w:proofErr w:type="gramEnd"/>
      <w:r w:rsidRPr="000D2E59">
        <w:t xml:space="preserve"> </w:t>
      </w:r>
      <w:r w:rsidR="00451933">
        <w:t>14</w:t>
      </w:r>
      <w:r w:rsidR="00451933" w:rsidRPr="00451933">
        <w:rPr>
          <w:vertAlign w:val="superscript"/>
        </w:rPr>
        <w:t>th</w:t>
      </w:r>
      <w:r w:rsidR="00451933">
        <w:t xml:space="preserve"> June</w:t>
      </w:r>
      <w:r>
        <w:t xml:space="preserve">. I have attached </w:t>
      </w:r>
      <w:r w:rsidR="00014E8F">
        <w:t>the form to the email with some prompts for mentors to focus on the same areas in BTs teaching as they focused on during their ITAP.</w:t>
      </w:r>
    </w:p>
    <w:p w14:paraId="701F16E1" w14:textId="77777777" w:rsidR="00B41129" w:rsidRDefault="00B41129"/>
    <w:p w14:paraId="0E1CB1C9" w14:textId="77777777" w:rsidR="00B41129" w:rsidRDefault="00B41129" w:rsidP="00B41129">
      <w:pPr>
        <w:pBdr>
          <w:left w:val="single" w:sz="4" w:space="4" w:color="0F9ED5" w:themeColor="accent4"/>
        </w:pBdr>
        <w:shd w:val="clear" w:color="auto" w:fill="CAEDFB" w:themeFill="accent4" w:themeFillTint="33"/>
      </w:pPr>
      <w:r>
        <w:t>Beginning teachers should:</w:t>
      </w:r>
    </w:p>
    <w:p w14:paraId="7DDD23EA" w14:textId="77777777" w:rsidR="00B41129" w:rsidRDefault="00B41129" w:rsidP="00B41129">
      <w:pPr>
        <w:pBdr>
          <w:left w:val="single" w:sz="4" w:space="4" w:color="0F9ED5" w:themeColor="accent4"/>
        </w:pBdr>
        <w:shd w:val="clear" w:color="auto" w:fill="CAEDFB" w:themeFill="accent4" w:themeFillTint="33"/>
      </w:pPr>
      <w:r w:rsidRPr="00254F6A">
        <w:rPr>
          <w:b/>
          <w:bCs/>
        </w:rPr>
        <w:t xml:space="preserve">Discuss </w:t>
      </w:r>
      <w:r>
        <w:t>the article on vocabulary (Ch2, available on Blackboard and the Partnership website) with your Mentor. How far does this resonate with your experiences of teaching Year 7 so far?</w:t>
      </w:r>
    </w:p>
    <w:p w14:paraId="27B7B52E" w14:textId="77777777" w:rsidR="00B41129" w:rsidRDefault="00B41129" w:rsidP="00B41129">
      <w:pPr>
        <w:pBdr>
          <w:left w:val="single" w:sz="4" w:space="4" w:color="0F9ED5" w:themeColor="accent4"/>
        </w:pBdr>
        <w:shd w:val="clear" w:color="auto" w:fill="CAEDFB" w:themeFill="accent4" w:themeFillTint="33"/>
      </w:pPr>
      <w:r w:rsidRPr="00D622CB">
        <w:rPr>
          <w:rStyle w:val="eop"/>
          <w:rFonts w:cstheme="minorHAnsi"/>
          <w:b/>
          <w:bCs/>
          <w:szCs w:val="18"/>
        </w:rPr>
        <w:t>Observe</w:t>
      </w:r>
      <w:r>
        <w:rPr>
          <w:rStyle w:val="eop"/>
          <w:rFonts w:cstheme="minorHAnsi"/>
          <w:szCs w:val="18"/>
        </w:rPr>
        <w:t xml:space="preserve"> an intervention session with Year 7. How are other adults supporting pupils’ progress during these sessions?</w:t>
      </w:r>
    </w:p>
    <w:p w14:paraId="4DAE7236" w14:textId="77777777" w:rsidR="00B41129" w:rsidRDefault="00B41129" w:rsidP="00B41129">
      <w:pPr>
        <w:pBdr>
          <w:left w:val="single" w:sz="4" w:space="4" w:color="0F9ED5" w:themeColor="accent4"/>
        </w:pBdr>
        <w:shd w:val="clear" w:color="auto" w:fill="CAEDFB" w:themeFill="accent4" w:themeFillTint="33"/>
      </w:pPr>
      <w:r>
        <w:t>The ITAP observation focus for this should be on w/c Monday 14</w:t>
      </w:r>
      <w:r w:rsidRPr="00901DAE">
        <w:rPr>
          <w:vertAlign w:val="superscript"/>
        </w:rPr>
        <w:t>th</w:t>
      </w:r>
      <w:r>
        <w:t xml:space="preserve"> June.</w:t>
      </w:r>
    </w:p>
    <w:p w14:paraId="4CEBD379" w14:textId="77777777" w:rsidR="00B41129" w:rsidRDefault="00B41129">
      <w:pPr>
        <w:rPr>
          <w:lang w:val="en-GB"/>
        </w:rPr>
      </w:pPr>
    </w:p>
    <w:p w14:paraId="13152B52" w14:textId="2E25746B" w:rsidR="00014E8F" w:rsidRDefault="002E65AF">
      <w:pPr>
        <w:rPr>
          <w:lang w:val="en-GB"/>
        </w:rPr>
      </w:pPr>
      <w:r>
        <w:rPr>
          <w:lang w:val="en-GB"/>
        </w:rPr>
        <w:lastRenderedPageBreak/>
        <w:t xml:space="preserve"> </w:t>
      </w:r>
      <w:r w:rsidR="00014E8F">
        <w:rPr>
          <w:lang w:val="en-GB"/>
        </w:rPr>
        <w:t>Please use the principles of instructional coaching from mentor training when feeding back on the ITAP lesson with a focus for development linking to one of the three core areas above:</w:t>
      </w:r>
    </w:p>
    <w:p w14:paraId="0DB0B237" w14:textId="52BA441A" w:rsidR="00014E8F" w:rsidRDefault="00014E8F">
      <w:pPr>
        <w:rPr>
          <w:lang w:val="en-GB"/>
        </w:rPr>
      </w:pPr>
      <w:r>
        <w:rPr>
          <w:noProof/>
        </w:rPr>
        <w:drawing>
          <wp:inline distT="0" distB="0" distL="0" distR="0" wp14:anchorId="4ED36DBD" wp14:editId="5C4F3B1C">
            <wp:extent cx="2742463" cy="1917700"/>
            <wp:effectExtent l="0" t="0" r="1270" b="6350"/>
            <wp:docPr id="97933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1569" name=""/>
                    <pic:cNvPicPr/>
                  </pic:nvPicPr>
                  <pic:blipFill rotWithShape="1">
                    <a:blip r:embed="rId11"/>
                    <a:srcRect l="21261" t="20133" r="20834" b="7882"/>
                    <a:stretch>
                      <a:fillRect/>
                    </a:stretch>
                  </pic:blipFill>
                  <pic:spPr bwMode="auto">
                    <a:xfrm>
                      <a:off x="0" y="0"/>
                      <a:ext cx="2747323" cy="1921098"/>
                    </a:xfrm>
                    <a:prstGeom prst="rect">
                      <a:avLst/>
                    </a:prstGeom>
                    <a:ln>
                      <a:noFill/>
                    </a:ln>
                    <a:extLst>
                      <a:ext uri="{53640926-AAD7-44D8-BBD7-CCE9431645EC}">
                        <a14:shadowObscured xmlns:a14="http://schemas.microsoft.com/office/drawing/2010/main"/>
                      </a:ext>
                    </a:extLst>
                  </pic:spPr>
                </pic:pic>
              </a:graphicData>
            </a:graphic>
          </wp:inline>
        </w:drawing>
      </w:r>
      <w:r>
        <w:rPr>
          <w:lang w:val="en-GB"/>
        </w:rPr>
        <w:t xml:space="preserve"> </w:t>
      </w:r>
    </w:p>
    <w:p w14:paraId="3F6BF853" w14:textId="48CF98C9" w:rsidR="00C32FB7" w:rsidRPr="00A8698D" w:rsidRDefault="4BE383D5">
      <w:pPr>
        <w:rPr>
          <w:sz w:val="22"/>
          <w:szCs w:val="22"/>
          <w:lang w:val="en-GB"/>
        </w:rPr>
      </w:pPr>
      <w:r w:rsidRPr="6B083AA0">
        <w:rPr>
          <w:sz w:val="22"/>
          <w:szCs w:val="22"/>
          <w:lang w:val="en-GB"/>
        </w:rPr>
        <w:t xml:space="preserve">The observation form from the week commencing </w:t>
      </w:r>
      <w:r w:rsidR="00451933">
        <w:rPr>
          <w:sz w:val="22"/>
          <w:szCs w:val="22"/>
          <w:lang w:val="en-GB"/>
        </w:rPr>
        <w:t>14</w:t>
      </w:r>
      <w:r w:rsidR="00451933" w:rsidRPr="00451933">
        <w:rPr>
          <w:sz w:val="22"/>
          <w:szCs w:val="22"/>
          <w:vertAlign w:val="superscript"/>
          <w:lang w:val="en-GB"/>
        </w:rPr>
        <w:t>th</w:t>
      </w:r>
      <w:r w:rsidR="00451933">
        <w:rPr>
          <w:sz w:val="22"/>
          <w:szCs w:val="22"/>
          <w:lang w:val="en-GB"/>
        </w:rPr>
        <w:t xml:space="preserve"> June</w:t>
      </w:r>
      <w:r w:rsidRPr="6B083AA0">
        <w:rPr>
          <w:sz w:val="22"/>
          <w:szCs w:val="22"/>
          <w:lang w:val="en-GB"/>
        </w:rPr>
        <w:t xml:space="preserve"> should be uploaded to BTs </w:t>
      </w:r>
      <w:proofErr w:type="spellStart"/>
      <w:r w:rsidRPr="6B083AA0">
        <w:rPr>
          <w:sz w:val="22"/>
          <w:szCs w:val="22"/>
          <w:lang w:val="en-GB"/>
        </w:rPr>
        <w:t>Onenotes</w:t>
      </w:r>
      <w:proofErr w:type="spellEnd"/>
      <w:r w:rsidRPr="6B083AA0">
        <w:rPr>
          <w:sz w:val="22"/>
          <w:szCs w:val="22"/>
          <w:lang w:val="en-GB"/>
        </w:rPr>
        <w:t xml:space="preserve"> as with their usual observations.</w:t>
      </w:r>
    </w:p>
    <w:p w14:paraId="7830D481" w14:textId="10B6DF7D" w:rsidR="00B10BC0" w:rsidRDefault="00CB00E4">
      <w:pPr>
        <w:rPr>
          <w:b/>
          <w:bCs/>
          <w:lang w:val="en-GB"/>
        </w:rPr>
      </w:pPr>
      <w:r w:rsidRPr="006E1209">
        <w:rPr>
          <w:b/>
          <w:bCs/>
          <w:lang w:val="en-GB"/>
        </w:rPr>
        <w:t>How can ITECs contextualise this further</w:t>
      </w:r>
      <w:r w:rsidR="006E1209">
        <w:rPr>
          <w:b/>
          <w:bCs/>
          <w:lang w:val="en-GB"/>
        </w:rPr>
        <w:t xml:space="preserve"> in school-based Professional Studies</w:t>
      </w:r>
      <w:r w:rsidRPr="006E1209">
        <w:rPr>
          <w:b/>
          <w:bCs/>
          <w:lang w:val="en-GB"/>
        </w:rPr>
        <w:t>?</w:t>
      </w:r>
    </w:p>
    <w:p w14:paraId="66938A01" w14:textId="77777777" w:rsidR="00A52965" w:rsidRPr="008B00F7" w:rsidRDefault="00A52965" w:rsidP="00A52965">
      <w:pPr>
        <w:rPr>
          <w:b/>
          <w:bCs/>
          <w:color w:val="A02B93" w:themeColor="accent5"/>
          <w:sz w:val="22"/>
        </w:rPr>
      </w:pPr>
      <w:r w:rsidRPr="008B00F7">
        <w:rPr>
          <w:b/>
          <w:bCs/>
          <w:color w:val="A02B93" w:themeColor="accent5"/>
          <w:sz w:val="22"/>
        </w:rPr>
        <w:t xml:space="preserve">How can ITECs </w:t>
      </w:r>
      <w:proofErr w:type="spellStart"/>
      <w:r w:rsidRPr="008B00F7">
        <w:rPr>
          <w:b/>
          <w:bCs/>
          <w:color w:val="A02B93" w:themeColor="accent5"/>
          <w:sz w:val="22"/>
        </w:rPr>
        <w:t>contextualise</w:t>
      </w:r>
      <w:proofErr w:type="spellEnd"/>
      <w:r w:rsidRPr="008B00F7">
        <w:rPr>
          <w:b/>
          <w:bCs/>
          <w:color w:val="A02B93" w:themeColor="accent5"/>
          <w:sz w:val="22"/>
        </w:rPr>
        <w:t xml:space="preserve"> </w:t>
      </w:r>
      <w:r>
        <w:rPr>
          <w:b/>
          <w:bCs/>
          <w:color w:val="A02B93" w:themeColor="accent5"/>
          <w:sz w:val="22"/>
        </w:rPr>
        <w:t>the final ITAP</w:t>
      </w:r>
      <w:r w:rsidRPr="008B00F7">
        <w:rPr>
          <w:b/>
          <w:bCs/>
          <w:color w:val="A02B93" w:themeColor="accent5"/>
          <w:sz w:val="22"/>
        </w:rPr>
        <w:t xml:space="preserve"> ahead of the </w:t>
      </w:r>
      <w:r>
        <w:rPr>
          <w:b/>
          <w:bCs/>
          <w:color w:val="A02B93" w:themeColor="accent5"/>
          <w:sz w:val="22"/>
        </w:rPr>
        <w:t>end of the course on Friday 25</w:t>
      </w:r>
      <w:r w:rsidRPr="00187B6F">
        <w:rPr>
          <w:b/>
          <w:bCs/>
          <w:color w:val="A02B93" w:themeColor="accent5"/>
          <w:sz w:val="22"/>
          <w:vertAlign w:val="superscript"/>
        </w:rPr>
        <w:t>th</w:t>
      </w:r>
      <w:r>
        <w:rPr>
          <w:b/>
          <w:bCs/>
          <w:color w:val="A02B93" w:themeColor="accent5"/>
          <w:sz w:val="22"/>
        </w:rPr>
        <w:t xml:space="preserve"> June?</w:t>
      </w:r>
    </w:p>
    <w:p w14:paraId="45222427" w14:textId="77777777" w:rsidR="00A52965" w:rsidRDefault="00A52965" w:rsidP="00A52965">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Please note that some schools will set their own tasks which are different to those below – the purpose of these suggestions is to give schools a range of possi</w:t>
      </w:r>
      <w:r>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contextualise</w:t>
      </w:r>
      <w:proofErr w:type="spell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Professional Studies curriculum in their setting.</w:t>
      </w:r>
    </w:p>
    <w:p w14:paraId="49D1B333" w14:textId="77777777" w:rsidR="00A52965" w:rsidRDefault="00A52965" w:rsidP="00A52965">
      <w:pPr>
        <w:spacing w:after="100" w:afterAutospacing="1"/>
        <w:rPr>
          <w:szCs w:val="18"/>
        </w:rPr>
      </w:pPr>
      <w:r w:rsidRPr="00B44F6E">
        <w:rPr>
          <w:szCs w:val="18"/>
        </w:rPr>
        <w:t>Beginning teachers could…</w:t>
      </w:r>
    </w:p>
    <w:p w14:paraId="0CD48CDD" w14:textId="77777777" w:rsidR="00A52965" w:rsidRDefault="00A52965" w:rsidP="00A52965">
      <w:pPr>
        <w:pStyle w:val="ListParagraph"/>
        <w:numPr>
          <w:ilvl w:val="0"/>
          <w:numId w:val="18"/>
        </w:numPr>
        <w:spacing w:after="100" w:afterAutospacing="1" w:line="240" w:lineRule="auto"/>
        <w:rPr>
          <w:szCs w:val="18"/>
        </w:rPr>
      </w:pPr>
      <w:r w:rsidRPr="005C218F">
        <w:rPr>
          <w:szCs w:val="18"/>
        </w:rPr>
        <w:t>Look through a range of Year 7 exercise books</w:t>
      </w:r>
      <w:r>
        <w:rPr>
          <w:szCs w:val="18"/>
        </w:rPr>
        <w:t xml:space="preserve"> – discuss with ITEC what they can elicit about expectations from a range of pupil work. Looking at the books of 2 or 3 pupils over several subjects can provide interesting discussions for consistency and expectations across different subject areas in terms of marking and literacy/numeracy support.</w:t>
      </w:r>
    </w:p>
    <w:p w14:paraId="512CABE3" w14:textId="77777777" w:rsidR="00A52965" w:rsidRPr="00F24030" w:rsidRDefault="00A52965" w:rsidP="00A52965">
      <w:pPr>
        <w:pStyle w:val="ListParagraph"/>
        <w:numPr>
          <w:ilvl w:val="0"/>
          <w:numId w:val="18"/>
        </w:numPr>
        <w:spacing w:after="100" w:afterAutospacing="1" w:line="240" w:lineRule="auto"/>
        <w:rPr>
          <w:szCs w:val="18"/>
        </w:rPr>
      </w:pPr>
      <w:r>
        <w:rPr>
          <w:szCs w:val="18"/>
        </w:rPr>
        <w:t>Take one pupils’ journey from their transition in Year 6 to deconstruct with an expert colleague: discuss what information was available at the point of transition, what their initial data were suggesting about ability and then track through SIMS/</w:t>
      </w:r>
      <w:proofErr w:type="spellStart"/>
      <w:r>
        <w:rPr>
          <w:szCs w:val="18"/>
        </w:rPr>
        <w:t>Classcharts</w:t>
      </w:r>
      <w:proofErr w:type="spellEnd"/>
      <w:r>
        <w:rPr>
          <w:szCs w:val="18"/>
        </w:rPr>
        <w:t xml:space="preserve"> (or equivalent) their assessment and </w:t>
      </w:r>
      <w:proofErr w:type="spellStart"/>
      <w:r>
        <w:rPr>
          <w:szCs w:val="18"/>
        </w:rPr>
        <w:t>behaviour</w:t>
      </w:r>
      <w:proofErr w:type="spellEnd"/>
      <w:r>
        <w:rPr>
          <w:szCs w:val="18"/>
        </w:rPr>
        <w:t xml:space="preserve"> points throughout the year – identify the progress that they have made overall and any areas where they appear to have struggled. What support was put </w:t>
      </w:r>
      <w:proofErr w:type="gramStart"/>
      <w:r>
        <w:rPr>
          <w:szCs w:val="18"/>
        </w:rPr>
        <w:t>in</w:t>
      </w:r>
      <w:proofErr w:type="gramEnd"/>
      <w:r>
        <w:rPr>
          <w:szCs w:val="18"/>
        </w:rPr>
        <w:t xml:space="preserve"> if necessary, from secondary school and how has this improved their outcomes? </w:t>
      </w:r>
    </w:p>
    <w:p w14:paraId="5675E0C1" w14:textId="77777777" w:rsidR="00FF5993" w:rsidRPr="006E1209" w:rsidRDefault="00FF5993">
      <w:pPr>
        <w:rPr>
          <w:b/>
          <w:bCs/>
          <w:lang w:val="en-GB"/>
        </w:rPr>
      </w:pPr>
    </w:p>
    <w:sectPr w:rsidR="00FF5993" w:rsidRPr="006E120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4B29" w14:textId="77777777" w:rsidR="00075BF5" w:rsidRDefault="00075BF5" w:rsidP="00CB00E4">
      <w:pPr>
        <w:spacing w:after="0" w:line="240" w:lineRule="auto"/>
      </w:pPr>
      <w:r>
        <w:separator/>
      </w:r>
    </w:p>
  </w:endnote>
  <w:endnote w:type="continuationSeparator" w:id="0">
    <w:p w14:paraId="433E7AF1" w14:textId="77777777" w:rsidR="00075BF5" w:rsidRDefault="00075BF5" w:rsidP="00CB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D93CD" w14:textId="77777777" w:rsidR="00075BF5" w:rsidRDefault="00075BF5" w:rsidP="00CB00E4">
      <w:pPr>
        <w:spacing w:after="0" w:line="240" w:lineRule="auto"/>
      </w:pPr>
      <w:r>
        <w:separator/>
      </w:r>
    </w:p>
  </w:footnote>
  <w:footnote w:type="continuationSeparator" w:id="0">
    <w:p w14:paraId="05E9470C" w14:textId="77777777" w:rsidR="00075BF5" w:rsidRDefault="00075BF5" w:rsidP="00CB0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186"/>
    <w:multiLevelType w:val="multilevel"/>
    <w:tmpl w:val="34A4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B7347"/>
    <w:multiLevelType w:val="multilevel"/>
    <w:tmpl w:val="654A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03526"/>
    <w:multiLevelType w:val="hybridMultilevel"/>
    <w:tmpl w:val="866C5C6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16A0D"/>
    <w:multiLevelType w:val="hybridMultilevel"/>
    <w:tmpl w:val="957E83D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17C05"/>
    <w:multiLevelType w:val="hybridMultilevel"/>
    <w:tmpl w:val="3E06D6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381DFA"/>
    <w:multiLevelType w:val="multilevel"/>
    <w:tmpl w:val="739C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47D8F"/>
    <w:multiLevelType w:val="multilevel"/>
    <w:tmpl w:val="37CA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0E64A3"/>
    <w:multiLevelType w:val="hybridMultilevel"/>
    <w:tmpl w:val="16B0A95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43185"/>
    <w:multiLevelType w:val="multilevel"/>
    <w:tmpl w:val="D178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CE762D"/>
    <w:multiLevelType w:val="multilevel"/>
    <w:tmpl w:val="EF8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983052"/>
    <w:multiLevelType w:val="multilevel"/>
    <w:tmpl w:val="DFF6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0451A"/>
    <w:multiLevelType w:val="multilevel"/>
    <w:tmpl w:val="8AB8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72FE9"/>
    <w:multiLevelType w:val="hybridMultilevel"/>
    <w:tmpl w:val="FF0C3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806BC3"/>
    <w:multiLevelType w:val="hybridMultilevel"/>
    <w:tmpl w:val="A590F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C06D1B"/>
    <w:multiLevelType w:val="multilevel"/>
    <w:tmpl w:val="0960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62148F"/>
    <w:multiLevelType w:val="multilevel"/>
    <w:tmpl w:val="BB14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EC25F9"/>
    <w:multiLevelType w:val="multilevel"/>
    <w:tmpl w:val="013A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BB6E9D"/>
    <w:multiLevelType w:val="multilevel"/>
    <w:tmpl w:val="9A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1620886">
    <w:abstractNumId w:val="14"/>
  </w:num>
  <w:num w:numId="2" w16cid:durableId="289945160">
    <w:abstractNumId w:val="10"/>
  </w:num>
  <w:num w:numId="3" w16cid:durableId="175311689">
    <w:abstractNumId w:val="8"/>
  </w:num>
  <w:num w:numId="4" w16cid:durableId="1351956463">
    <w:abstractNumId w:val="1"/>
  </w:num>
  <w:num w:numId="5" w16cid:durableId="2089229769">
    <w:abstractNumId w:val="0"/>
  </w:num>
  <w:num w:numId="6" w16cid:durableId="1086537857">
    <w:abstractNumId w:val="15"/>
  </w:num>
  <w:num w:numId="7" w16cid:durableId="307251661">
    <w:abstractNumId w:val="9"/>
  </w:num>
  <w:num w:numId="8" w16cid:durableId="1677421602">
    <w:abstractNumId w:val="17"/>
  </w:num>
  <w:num w:numId="9" w16cid:durableId="1669481750">
    <w:abstractNumId w:val="5"/>
  </w:num>
  <w:num w:numId="10" w16cid:durableId="1533346214">
    <w:abstractNumId w:val="6"/>
  </w:num>
  <w:num w:numId="11" w16cid:durableId="1621380339">
    <w:abstractNumId w:val="16"/>
  </w:num>
  <w:num w:numId="12" w16cid:durableId="1810243958">
    <w:abstractNumId w:val="11"/>
  </w:num>
  <w:num w:numId="13" w16cid:durableId="1352487758">
    <w:abstractNumId w:val="7"/>
  </w:num>
  <w:num w:numId="14" w16cid:durableId="1177383793">
    <w:abstractNumId w:val="2"/>
  </w:num>
  <w:num w:numId="15" w16cid:durableId="787040933">
    <w:abstractNumId w:val="13"/>
  </w:num>
  <w:num w:numId="16" w16cid:durableId="1997878448">
    <w:abstractNumId w:val="12"/>
  </w:num>
  <w:num w:numId="17" w16cid:durableId="1710301439">
    <w:abstractNumId w:val="4"/>
  </w:num>
  <w:num w:numId="18" w16cid:durableId="1048533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B7"/>
    <w:rsid w:val="00014E8F"/>
    <w:rsid w:val="0003379B"/>
    <w:rsid w:val="00075BF5"/>
    <w:rsid w:val="00077349"/>
    <w:rsid w:val="000D2E59"/>
    <w:rsid w:val="000D68B2"/>
    <w:rsid w:val="00145BB7"/>
    <w:rsid w:val="00182736"/>
    <w:rsid w:val="001E7BB4"/>
    <w:rsid w:val="00211717"/>
    <w:rsid w:val="00235D3A"/>
    <w:rsid w:val="002D24D8"/>
    <w:rsid w:val="002E2E50"/>
    <w:rsid w:val="002E43BC"/>
    <w:rsid w:val="002E65AF"/>
    <w:rsid w:val="003426DF"/>
    <w:rsid w:val="00394D4E"/>
    <w:rsid w:val="003A37B2"/>
    <w:rsid w:val="003C51A3"/>
    <w:rsid w:val="00404755"/>
    <w:rsid w:val="00445427"/>
    <w:rsid w:val="00451933"/>
    <w:rsid w:val="00451CFA"/>
    <w:rsid w:val="004664B6"/>
    <w:rsid w:val="004E16A4"/>
    <w:rsid w:val="00551215"/>
    <w:rsid w:val="005A4D8A"/>
    <w:rsid w:val="005B3A5A"/>
    <w:rsid w:val="005D3CC3"/>
    <w:rsid w:val="00664FAC"/>
    <w:rsid w:val="006E1209"/>
    <w:rsid w:val="006F3FAE"/>
    <w:rsid w:val="007049DA"/>
    <w:rsid w:val="007442B5"/>
    <w:rsid w:val="00755278"/>
    <w:rsid w:val="007D10BC"/>
    <w:rsid w:val="007E733E"/>
    <w:rsid w:val="008079F6"/>
    <w:rsid w:val="00837417"/>
    <w:rsid w:val="008A6C9F"/>
    <w:rsid w:val="008D250E"/>
    <w:rsid w:val="008E1D22"/>
    <w:rsid w:val="009828F0"/>
    <w:rsid w:val="00982AFB"/>
    <w:rsid w:val="00A379F9"/>
    <w:rsid w:val="00A52965"/>
    <w:rsid w:val="00A8698D"/>
    <w:rsid w:val="00AA0D9E"/>
    <w:rsid w:val="00AA574D"/>
    <w:rsid w:val="00AC4784"/>
    <w:rsid w:val="00AE0DC1"/>
    <w:rsid w:val="00B06DEC"/>
    <w:rsid w:val="00B10BC0"/>
    <w:rsid w:val="00B41129"/>
    <w:rsid w:val="00B53F7B"/>
    <w:rsid w:val="00B86064"/>
    <w:rsid w:val="00BA31EA"/>
    <w:rsid w:val="00BD3ABD"/>
    <w:rsid w:val="00BD4F60"/>
    <w:rsid w:val="00C32FB7"/>
    <w:rsid w:val="00CB00E4"/>
    <w:rsid w:val="00D31124"/>
    <w:rsid w:val="00D53C18"/>
    <w:rsid w:val="00D56E2C"/>
    <w:rsid w:val="00DF0863"/>
    <w:rsid w:val="00E028DE"/>
    <w:rsid w:val="00E049CB"/>
    <w:rsid w:val="00E1328D"/>
    <w:rsid w:val="00EA22F8"/>
    <w:rsid w:val="00EB3FC5"/>
    <w:rsid w:val="00F452AC"/>
    <w:rsid w:val="00F515E1"/>
    <w:rsid w:val="00F84A5E"/>
    <w:rsid w:val="00F96C69"/>
    <w:rsid w:val="00FB1665"/>
    <w:rsid w:val="00FB6FFB"/>
    <w:rsid w:val="00FF5993"/>
    <w:rsid w:val="4BE383D5"/>
    <w:rsid w:val="5A7886B2"/>
    <w:rsid w:val="6B08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1247"/>
  <w15:chartTrackingRefBased/>
  <w15:docId w15:val="{FA330E8C-A98A-44FA-8E54-7725EE67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2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2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FB7"/>
    <w:rPr>
      <w:rFonts w:eastAsiaTheme="majorEastAsia" w:cstheme="majorBidi"/>
      <w:color w:val="272727" w:themeColor="text1" w:themeTint="D8"/>
    </w:rPr>
  </w:style>
  <w:style w:type="paragraph" w:styleId="Title">
    <w:name w:val="Title"/>
    <w:basedOn w:val="Normal"/>
    <w:next w:val="Normal"/>
    <w:link w:val="TitleChar"/>
    <w:uiPriority w:val="10"/>
    <w:qFormat/>
    <w:rsid w:val="00C32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FB7"/>
    <w:pPr>
      <w:spacing w:before="160"/>
      <w:jc w:val="center"/>
    </w:pPr>
    <w:rPr>
      <w:i/>
      <w:iCs/>
      <w:color w:val="404040" w:themeColor="text1" w:themeTint="BF"/>
    </w:rPr>
  </w:style>
  <w:style w:type="character" w:customStyle="1" w:styleId="QuoteChar">
    <w:name w:val="Quote Char"/>
    <w:basedOn w:val="DefaultParagraphFont"/>
    <w:link w:val="Quote"/>
    <w:uiPriority w:val="29"/>
    <w:rsid w:val="00C32FB7"/>
    <w:rPr>
      <w:i/>
      <w:iCs/>
      <w:color w:val="404040" w:themeColor="text1" w:themeTint="BF"/>
    </w:rPr>
  </w:style>
  <w:style w:type="paragraph" w:styleId="ListParagraph">
    <w:name w:val="List Paragraph"/>
    <w:basedOn w:val="Normal"/>
    <w:uiPriority w:val="34"/>
    <w:qFormat/>
    <w:rsid w:val="00C32FB7"/>
    <w:pPr>
      <w:ind w:left="720"/>
      <w:contextualSpacing/>
    </w:pPr>
  </w:style>
  <w:style w:type="character" w:styleId="IntenseEmphasis">
    <w:name w:val="Intense Emphasis"/>
    <w:basedOn w:val="DefaultParagraphFont"/>
    <w:uiPriority w:val="21"/>
    <w:qFormat/>
    <w:rsid w:val="00C32FB7"/>
    <w:rPr>
      <w:i/>
      <w:iCs/>
      <w:color w:val="0F4761" w:themeColor="accent1" w:themeShade="BF"/>
    </w:rPr>
  </w:style>
  <w:style w:type="paragraph" w:styleId="IntenseQuote">
    <w:name w:val="Intense Quote"/>
    <w:basedOn w:val="Normal"/>
    <w:next w:val="Normal"/>
    <w:link w:val="IntenseQuoteChar"/>
    <w:uiPriority w:val="30"/>
    <w:qFormat/>
    <w:rsid w:val="00C32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FB7"/>
    <w:rPr>
      <w:i/>
      <w:iCs/>
      <w:color w:val="0F4761" w:themeColor="accent1" w:themeShade="BF"/>
    </w:rPr>
  </w:style>
  <w:style w:type="character" w:styleId="IntenseReference">
    <w:name w:val="Intense Reference"/>
    <w:basedOn w:val="DefaultParagraphFont"/>
    <w:uiPriority w:val="32"/>
    <w:qFormat/>
    <w:rsid w:val="00C32FB7"/>
    <w:rPr>
      <w:b/>
      <w:bCs/>
      <w:smallCaps/>
      <w:color w:val="0F4761" w:themeColor="accent1" w:themeShade="BF"/>
      <w:spacing w:val="5"/>
    </w:rPr>
  </w:style>
  <w:style w:type="character" w:styleId="Hyperlink">
    <w:name w:val="Hyperlink"/>
    <w:basedOn w:val="DefaultParagraphFont"/>
    <w:uiPriority w:val="99"/>
    <w:unhideWhenUsed/>
    <w:rsid w:val="000D2E59"/>
    <w:rPr>
      <w:color w:val="467886" w:themeColor="hyperlink"/>
      <w:u w:val="single"/>
    </w:rPr>
  </w:style>
  <w:style w:type="character" w:styleId="UnresolvedMention">
    <w:name w:val="Unresolved Mention"/>
    <w:basedOn w:val="DefaultParagraphFont"/>
    <w:uiPriority w:val="99"/>
    <w:semiHidden/>
    <w:unhideWhenUsed/>
    <w:rsid w:val="000D2E59"/>
    <w:rPr>
      <w:color w:val="605E5C"/>
      <w:shd w:val="clear" w:color="auto" w:fill="E1DFDD"/>
    </w:rPr>
  </w:style>
  <w:style w:type="paragraph" w:styleId="Header">
    <w:name w:val="header"/>
    <w:basedOn w:val="Normal"/>
    <w:link w:val="HeaderChar"/>
    <w:uiPriority w:val="99"/>
    <w:unhideWhenUsed/>
    <w:rsid w:val="00CB0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0E4"/>
  </w:style>
  <w:style w:type="paragraph" w:styleId="Footer">
    <w:name w:val="footer"/>
    <w:basedOn w:val="Normal"/>
    <w:link w:val="FooterChar"/>
    <w:uiPriority w:val="99"/>
    <w:unhideWhenUsed/>
    <w:rsid w:val="00CB0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0E4"/>
  </w:style>
  <w:style w:type="table" w:styleId="TableGrid">
    <w:name w:val="Table Grid"/>
    <w:basedOn w:val="TableNormal"/>
    <w:uiPriority w:val="59"/>
    <w:rsid w:val="00664FAC"/>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4FAC"/>
  </w:style>
  <w:style w:type="paragraph" w:styleId="BodyText2">
    <w:name w:val="Body Text 2"/>
    <w:link w:val="BodyText2Char"/>
    <w:uiPriority w:val="99"/>
    <w:unhideWhenUsed/>
    <w:rsid w:val="00664FAC"/>
    <w:pPr>
      <w:spacing w:after="120" w:line="312" w:lineRule="auto"/>
    </w:pPr>
    <w:rPr>
      <w:rFonts w:ascii="Georgia" w:eastAsia="Times New Roman" w:hAnsi="Georgia" w:cs="Times New Roman"/>
      <w:color w:val="62797A"/>
      <w:kern w:val="28"/>
      <w:sz w:val="15"/>
      <w:szCs w:val="15"/>
      <w:lang w:val="en-GB" w:eastAsia="en-GB"/>
      <w14:ligatures w14:val="standard"/>
      <w14:cntxtAlts/>
    </w:rPr>
  </w:style>
  <w:style w:type="character" w:customStyle="1" w:styleId="BodyText2Char">
    <w:name w:val="Body Text 2 Char"/>
    <w:basedOn w:val="DefaultParagraphFont"/>
    <w:link w:val="BodyText2"/>
    <w:uiPriority w:val="99"/>
    <w:rsid w:val="00664FAC"/>
    <w:rPr>
      <w:rFonts w:ascii="Georgia" w:eastAsia="Times New Roman" w:hAnsi="Georgia" w:cs="Times New Roman"/>
      <w:color w:val="62797A"/>
      <w:kern w:val="28"/>
      <w:sz w:val="15"/>
      <w:szCs w:val="15"/>
      <w:lang w:val="en-GB" w:eastAsia="en-GB"/>
      <w14:ligatures w14:val="standard"/>
      <w14:cntxtAlts/>
    </w:rPr>
  </w:style>
  <w:style w:type="paragraph" w:styleId="NormalWeb">
    <w:name w:val="Normal (Web)"/>
    <w:basedOn w:val="Normal"/>
    <w:uiPriority w:val="99"/>
    <w:unhideWhenUsed/>
    <w:rsid w:val="00F84A5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FF5993"/>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eop">
    <w:name w:val="eop"/>
    <w:basedOn w:val="DefaultParagraphFont"/>
    <w:rsid w:val="00FF5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Eventdate xmlns="9f8affc1-1773-451c-8f00-5d38c91816ea" xsi:nil="true"/>
    <lcf76f155ced4ddcb4097134ff3c332f xmlns="9f8affc1-1773-451c-8f00-5d38c91816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B3632-8E4F-4AD3-82AD-BBDC60516239}">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customXml/itemProps2.xml><?xml version="1.0" encoding="utf-8"?>
<ds:datastoreItem xmlns:ds="http://schemas.openxmlformats.org/officeDocument/2006/customXml" ds:itemID="{CD4AFCC7-658C-469E-8B4B-DE5A0D5A96FD}">
  <ds:schemaRefs>
    <ds:schemaRef ds:uri="http://schemas.microsoft.com/sharepoint/v3/contenttype/forms"/>
  </ds:schemaRefs>
</ds:datastoreItem>
</file>

<file path=customXml/itemProps3.xml><?xml version="1.0" encoding="utf-8"?>
<ds:datastoreItem xmlns:ds="http://schemas.openxmlformats.org/officeDocument/2006/customXml" ds:itemID="{F3AFBDA5-4B13-4A11-A0DC-E485BB05B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764</Words>
  <Characters>4360</Characters>
  <Application>Microsoft Office Word</Application>
  <DocSecurity>0</DocSecurity>
  <Lines>36</Lines>
  <Paragraphs>10</Paragraphs>
  <ScaleCrop>false</ScaleCrop>
  <Company>University of Southampton</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Henry</dc:creator>
  <cp:keywords/>
  <dc:description/>
  <cp:lastModifiedBy>Emily Henry</cp:lastModifiedBy>
  <cp:revision>14</cp:revision>
  <dcterms:created xsi:type="dcterms:W3CDTF">2026-08-06T15:55:00Z</dcterms:created>
  <dcterms:modified xsi:type="dcterms:W3CDTF">2026-08-06T16:03:00Z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